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4D8" w:rsidRDefault="00C31E9E">
      <w:pPr>
        <w:pStyle w:val="Standard"/>
        <w:spacing w:after="0" w:line="288" w:lineRule="auto"/>
        <w:jc w:val="both"/>
      </w:pPr>
      <w:bookmarkStart w:id="0" w:name="_GoBack"/>
      <w:bookmarkEnd w:id="0"/>
      <w:r>
        <w:rPr>
          <w:rFonts w:ascii="Tahoma" w:hAnsi="Tahoma" w:cs="Tahoma"/>
          <w:b/>
          <w:lang w:val="pl-PL"/>
        </w:rPr>
        <w:t>Nadle</w:t>
      </w:r>
      <w:r>
        <w:rPr>
          <w:rFonts w:ascii="Tahoma" w:hAnsi="Tahoma" w:cs="Tahoma"/>
          <w:b/>
        </w:rPr>
        <w:t>ž</w:t>
      </w:r>
      <w:r>
        <w:rPr>
          <w:rFonts w:ascii="Tahoma" w:hAnsi="Tahoma" w:cs="Tahoma"/>
          <w:b/>
          <w:lang w:val="pl-PL"/>
        </w:rPr>
        <w:t>an trgova</w:t>
      </w:r>
      <w:r>
        <w:rPr>
          <w:rFonts w:ascii="Tahoma" w:hAnsi="Tahoma" w:cs="Tahoma"/>
          <w:b/>
        </w:rPr>
        <w:t>č</w:t>
      </w:r>
      <w:r>
        <w:rPr>
          <w:rFonts w:ascii="Tahoma" w:hAnsi="Tahoma" w:cs="Tahoma"/>
          <w:b/>
          <w:lang w:val="pl-PL"/>
        </w:rPr>
        <w:t>ki sud</w:t>
      </w:r>
      <w:r>
        <w:rPr>
          <w:rFonts w:ascii="Tahoma" w:hAnsi="Tahoma" w:cs="Tahoma"/>
          <w:lang w:val="pl-PL"/>
        </w:rPr>
        <w:t xml:space="preserve">:     </w:t>
      </w:r>
      <w:r>
        <w:rPr>
          <w:rFonts w:ascii="Tahoma" w:hAnsi="Tahoma" w:cs="Tahoma"/>
          <w:b/>
        </w:rPr>
        <w:t>Trgovački sud u Varaždinu</w:t>
      </w:r>
    </w:p>
    <w:p w:rsidR="006E74D8" w:rsidRDefault="00C31E9E">
      <w:pPr>
        <w:pStyle w:val="Standard"/>
        <w:spacing w:after="0" w:line="288" w:lineRule="auto"/>
        <w:jc w:val="both"/>
      </w:pPr>
      <w:r>
        <w:rPr>
          <w:rFonts w:ascii="Tahoma" w:hAnsi="Tahoma" w:cs="Tahoma"/>
          <w:b/>
          <w:lang w:val="pl-PL"/>
        </w:rPr>
        <w:t>Poslovni broj spisa</w:t>
      </w:r>
      <w:r>
        <w:rPr>
          <w:rFonts w:ascii="Tahoma" w:hAnsi="Tahoma" w:cs="Tahoma"/>
          <w:lang w:val="pl-PL"/>
        </w:rPr>
        <w:t>:</w:t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 xml:space="preserve">      </w:t>
      </w:r>
      <w:r>
        <w:rPr>
          <w:rFonts w:ascii="Tahoma" w:hAnsi="Tahoma" w:cs="Tahoma"/>
          <w:b/>
          <w:lang w:val="pl-PL"/>
        </w:rPr>
        <w:t>St-428/2016</w:t>
      </w:r>
    </w:p>
    <w:p w:rsidR="006E74D8" w:rsidRDefault="00C31E9E">
      <w:pPr>
        <w:pStyle w:val="Standard"/>
        <w:spacing w:after="0" w:line="288" w:lineRule="auto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 xml:space="preserve">Dužnik: </w:t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  <w:t xml:space="preserve">     </w:t>
      </w:r>
      <w:bookmarkStart w:id="1" w:name="_Hlk485027454"/>
      <w:r>
        <w:rPr>
          <w:rFonts w:ascii="Tahoma" w:hAnsi="Tahoma" w:cs="Tahoma"/>
          <w:b/>
          <w:lang w:val="pl-PL"/>
        </w:rPr>
        <w:t xml:space="preserve">  VIG d.o.o. u stečaju                                                                                                                                     </w:t>
      </w:r>
    </w:p>
    <w:p w:rsidR="006E74D8" w:rsidRDefault="00C31E9E">
      <w:pPr>
        <w:pStyle w:val="Standard"/>
        <w:spacing w:after="0" w:line="288" w:lineRule="auto"/>
        <w:ind w:left="2127" w:firstLine="709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 xml:space="preserve">       Pavleka Miškine 72, Strahoninec</w:t>
      </w:r>
    </w:p>
    <w:p w:rsidR="006E74D8" w:rsidRDefault="00C31E9E">
      <w:pPr>
        <w:pStyle w:val="Standard"/>
        <w:spacing w:after="0" w:line="288" w:lineRule="auto"/>
        <w:ind w:left="2127" w:firstLine="709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 xml:space="preserve">       OIB: 86198632160, MB</w:t>
      </w:r>
      <w:r>
        <w:rPr>
          <w:rFonts w:ascii="Tahoma" w:hAnsi="Tahoma" w:cs="Tahoma"/>
          <w:b/>
          <w:lang w:val="pl-PL"/>
        </w:rPr>
        <w:t>S: 070067832</w:t>
      </w:r>
    </w:p>
    <w:p w:rsidR="006E74D8" w:rsidRDefault="006E74D8">
      <w:pPr>
        <w:pStyle w:val="Standard"/>
        <w:spacing w:after="0" w:line="288" w:lineRule="auto"/>
        <w:ind w:left="2127" w:firstLine="709"/>
        <w:rPr>
          <w:rFonts w:ascii="Tahoma" w:hAnsi="Tahoma" w:cs="Tahoma"/>
          <w:b/>
          <w:lang w:val="pl-PL"/>
        </w:rPr>
      </w:pPr>
    </w:p>
    <w:p w:rsidR="006E74D8" w:rsidRDefault="00C31E9E">
      <w:pPr>
        <w:pStyle w:val="Standard"/>
        <w:spacing w:after="0" w:line="288" w:lineRule="auto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>VARAŽDIN, 18.04.2019.</w:t>
      </w:r>
    </w:p>
    <w:p w:rsidR="006E74D8" w:rsidRDefault="006E74D8">
      <w:pPr>
        <w:pStyle w:val="Standard"/>
        <w:spacing w:after="0" w:line="288" w:lineRule="auto"/>
        <w:rPr>
          <w:rFonts w:ascii="Tahoma" w:hAnsi="Tahoma" w:cs="Tahoma"/>
          <w:b/>
          <w:lang w:val="pl-PL"/>
        </w:rPr>
      </w:pPr>
    </w:p>
    <w:p w:rsidR="006E74D8" w:rsidRDefault="006E74D8">
      <w:pPr>
        <w:pStyle w:val="Standard"/>
        <w:spacing w:after="0" w:line="288" w:lineRule="auto"/>
        <w:rPr>
          <w:rFonts w:ascii="Tahoma" w:hAnsi="Tahoma" w:cs="Tahoma"/>
          <w:b/>
          <w:lang w:val="pl-PL"/>
        </w:rPr>
      </w:pPr>
    </w:p>
    <w:p w:rsidR="006E74D8" w:rsidRDefault="006E74D8">
      <w:pPr>
        <w:pStyle w:val="Standard"/>
        <w:spacing w:after="0" w:line="288" w:lineRule="auto"/>
        <w:rPr>
          <w:rFonts w:ascii="Tahoma" w:hAnsi="Tahoma" w:cs="Tahoma"/>
          <w:b/>
          <w:lang w:val="pl-PL"/>
        </w:rPr>
      </w:pPr>
    </w:p>
    <w:p w:rsidR="006E74D8" w:rsidRDefault="00C31E9E">
      <w:pPr>
        <w:pStyle w:val="Standard"/>
        <w:spacing w:after="0" w:line="288" w:lineRule="auto"/>
        <w:jc w:val="center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>Obrazac 18</w:t>
      </w:r>
    </w:p>
    <w:p w:rsidR="006E74D8" w:rsidRDefault="00C31E9E">
      <w:pPr>
        <w:pStyle w:val="Standard"/>
        <w:spacing w:after="0" w:line="288" w:lineRule="auto"/>
        <w:jc w:val="center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>Izvješće za 1. kvartal 2019.</w:t>
      </w: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I Tijek postupka</w:t>
      </w: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Stečajni upravitelj obavještava naslovni sud da je</w:t>
      </w:r>
      <w:r>
        <w:rPr>
          <w:rFonts w:ascii="Tahoma" w:hAnsi="Tahoma" w:cs="Tahoma"/>
          <w:lang w:val="pl-PL"/>
        </w:rPr>
        <w:t xml:space="preserve"> 04.01.2019. podnio izvješće za prethodni kvartal. U vezi s tim napominje da tijekom prvog kvartala 2019. nije bilo većih aktivnosti osim što je nekoliko potencijalnih kupaca pogledalo nekretninu za koju je objavljena elektronska javna dražba.</w:t>
      </w: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II Stanje s</w:t>
      </w:r>
      <w:r>
        <w:rPr>
          <w:rFonts w:ascii="Tahoma" w:hAnsi="Tahoma" w:cs="Tahoma"/>
          <w:b/>
          <w:bCs/>
          <w:lang w:val="pl-PL"/>
        </w:rPr>
        <w:t>tečajne mase</w:t>
      </w: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FINA Zagreb objavila je dana 18.02.2019. „Poziv na sudjelovanje u Elektroničkoj javnoj dražbi”. Prva dražba počinje 18.02.2019. u 15,00 sati i završava 14.05.2019. u 23,59 sati. Za sada je interes za dražbovanje slab.</w:t>
      </w: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Nekretninu, čije je dra</w:t>
      </w:r>
      <w:r>
        <w:rPr>
          <w:rFonts w:ascii="Tahoma" w:hAnsi="Tahoma" w:cs="Tahoma"/>
          <w:lang w:val="pl-PL"/>
        </w:rPr>
        <w:t>žbovanje u tijeku (zgrada i skladišta, Čakovec, R. Boškovića 15), osnivač i bivši direktor Vladimir Štenglin nije ispraznio od svojih stvari koje nisu vlasništvo stečajnog dužnika, a dijelom se radi i o kemijskom otpadu. Stečajni upravitelj ne može sam isp</w:t>
      </w:r>
      <w:r>
        <w:rPr>
          <w:rFonts w:ascii="Tahoma" w:hAnsi="Tahoma" w:cs="Tahoma"/>
          <w:lang w:val="pl-PL"/>
        </w:rPr>
        <w:t>razniti prostor jer za to nema sredstava. Direktor je upozoren da će biti prijavljen sudu zbog nesuradnje i kažnjen.</w:t>
      </w: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Odvjetnik Marko Hreljac iz Varaždina, koji zastupa Vladimira Štenglina, zatražio je punomoć od stečajnog upravitelja za zastupanje oštećen</w:t>
      </w:r>
      <w:r>
        <w:rPr>
          <w:rFonts w:ascii="Tahoma" w:hAnsi="Tahoma" w:cs="Tahoma"/>
          <w:lang w:val="pl-PL"/>
        </w:rPr>
        <w:t>og u kaznenom postupku protiv Dine Vrbanca i dr. koji se vodi na Županijskom sudu u Čakovcu protiv odgovornih osoba Euro Iver d.o.o. (društvo je brisano). Stečajni upravitelj pristao je predati punomoć čim Vladimir Štenglin isprazni prostor u Čakovcu, R. B</w:t>
      </w:r>
      <w:r>
        <w:rPr>
          <w:rFonts w:ascii="Tahoma" w:hAnsi="Tahoma" w:cs="Tahoma"/>
          <w:lang w:val="pl-PL"/>
        </w:rPr>
        <w:t>oškovića 15. Trošak zastupanja snositi će Vladimir Štenglin koji je ujedno i stečajni vjerovnik, o čemu će se zaključiti posebni sporazum.</w:t>
      </w: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Trgovački sud u Zagrebu zatražio je od stečajnog upravitelja da preuzme postupak broj P-797/17 koji stečajni dužnik </w:t>
      </w:r>
      <w:r>
        <w:rPr>
          <w:rFonts w:ascii="Tahoma" w:hAnsi="Tahoma" w:cs="Tahoma"/>
          <w:lang w:val="pl-PL"/>
        </w:rPr>
        <w:t xml:space="preserve">vodi protiv Prvog faktora d.o.o. u likvidaciji i Kemoboje plus </w:t>
      </w:r>
      <w:r>
        <w:rPr>
          <w:rFonts w:ascii="Tahoma" w:hAnsi="Tahoma" w:cs="Tahoma"/>
          <w:lang w:val="pl-PL"/>
        </w:rPr>
        <w:lastRenderedPageBreak/>
        <w:t>d.o.o. u stečaju radi utvrđenja i uspostave prijašnjeg z.k. stanja. Prema zaključku 2. Sjednice Odbora vjerovnika od 13.09.2018. stečajni dužnik neće nastavljati započete postupke jer je njegov</w:t>
      </w:r>
      <w:r>
        <w:rPr>
          <w:rFonts w:ascii="Tahoma" w:hAnsi="Tahoma" w:cs="Tahoma"/>
          <w:lang w:val="pl-PL"/>
        </w:rPr>
        <w:t>a pravna pozicija slaba, tuženici su u likvidaciji ili stečaju, pa se nepotrebno stvaraju troškovi. Već i samo povlačenje tužbi proizvodi troškove druge strane koje mora platiti stečajni dužnik, zbog čega se  spomenuti postupak ne bi trebao nastaviti. Ipak</w:t>
      </w:r>
      <w:r>
        <w:rPr>
          <w:rFonts w:ascii="Tahoma" w:hAnsi="Tahoma" w:cs="Tahoma"/>
          <w:lang w:val="pl-PL"/>
        </w:rPr>
        <w:t xml:space="preserve"> stečajni upravitelj smatra da ne može sam donijeti navedenu odluku već bi to trebala učiniti skupština vjerovnika.</w:t>
      </w: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III Stanje žiro računa</w:t>
      </w: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Stečajni upravitelj obavještava sud da stečajni dužnik ima otvoreni žiro račun a na njemu je 3.813, 68 kn.</w:t>
      </w: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>IV Prij</w:t>
      </w:r>
      <w:r>
        <w:rPr>
          <w:rFonts w:ascii="Tahoma" w:hAnsi="Tahoma" w:cs="Tahoma"/>
          <w:b/>
          <w:bCs/>
          <w:lang w:val="pl-PL"/>
        </w:rPr>
        <w:t>edlozi stečajnog upravitelja</w:t>
      </w: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- prihvaćanje Izvješća</w:t>
      </w: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- prihvaćanje Financijskog plana za 2. kvartal 2019.</w:t>
      </w: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- donošenje odluke o parnici na TS Zagreb, P-797/17</w:t>
      </w: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  <w:t>Stečajni upravitelj:</w:t>
      </w:r>
    </w:p>
    <w:p w:rsidR="006E74D8" w:rsidRDefault="00C31E9E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  <w:t>____________</w:t>
      </w:r>
    </w:p>
    <w:bookmarkEnd w:id="1"/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6E74D8" w:rsidRDefault="006E74D8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6E74D8" w:rsidRDefault="006E74D8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6E74D8" w:rsidRDefault="006E74D8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6E74D8" w:rsidRDefault="006E74D8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6E74D8" w:rsidRDefault="006E74D8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6E74D8" w:rsidRDefault="006E74D8">
      <w:pPr>
        <w:pStyle w:val="Standard"/>
        <w:spacing w:line="288" w:lineRule="auto"/>
        <w:rPr>
          <w:rFonts w:ascii="Tahoma" w:hAnsi="Tahoma" w:cs="Tahoma"/>
          <w:b/>
          <w:sz w:val="26"/>
          <w:szCs w:val="26"/>
        </w:rPr>
      </w:pPr>
    </w:p>
    <w:p w:rsidR="006E74D8" w:rsidRDefault="006E74D8">
      <w:pPr>
        <w:pStyle w:val="Standard"/>
        <w:spacing w:line="288" w:lineRule="auto"/>
        <w:rPr>
          <w:rFonts w:ascii="Tahoma" w:hAnsi="Tahoma" w:cs="Tahoma"/>
          <w:b/>
          <w:sz w:val="26"/>
          <w:szCs w:val="26"/>
        </w:rPr>
      </w:pPr>
    </w:p>
    <w:p w:rsidR="006E74D8" w:rsidRDefault="006E74D8">
      <w:pPr>
        <w:pStyle w:val="Standard"/>
        <w:spacing w:line="288" w:lineRule="auto"/>
        <w:rPr>
          <w:rFonts w:ascii="Tahoma" w:hAnsi="Tahoma" w:cs="Tahoma"/>
          <w:b/>
          <w:sz w:val="26"/>
          <w:szCs w:val="26"/>
        </w:rPr>
      </w:pPr>
    </w:p>
    <w:p w:rsidR="006E74D8" w:rsidRDefault="006E74D8">
      <w:pPr>
        <w:pStyle w:val="Standard"/>
        <w:spacing w:line="288" w:lineRule="auto"/>
        <w:rPr>
          <w:rFonts w:ascii="Tahoma" w:hAnsi="Tahoma" w:cs="Tahoma"/>
          <w:b/>
          <w:sz w:val="26"/>
          <w:szCs w:val="26"/>
        </w:rPr>
      </w:pPr>
    </w:p>
    <w:p w:rsidR="006E74D8" w:rsidRDefault="006E74D8">
      <w:pPr>
        <w:pStyle w:val="Standard"/>
        <w:spacing w:line="288" w:lineRule="auto"/>
        <w:rPr>
          <w:rFonts w:ascii="Tahoma" w:hAnsi="Tahoma" w:cs="Tahoma"/>
          <w:b/>
          <w:sz w:val="26"/>
          <w:szCs w:val="26"/>
        </w:rPr>
      </w:pPr>
    </w:p>
    <w:p w:rsidR="006E74D8" w:rsidRDefault="006E74D8">
      <w:pPr>
        <w:pStyle w:val="Standard"/>
        <w:spacing w:line="288" w:lineRule="auto"/>
        <w:rPr>
          <w:rFonts w:ascii="Tahoma" w:hAnsi="Tahoma" w:cs="Tahoma"/>
          <w:b/>
          <w:sz w:val="26"/>
          <w:szCs w:val="26"/>
        </w:rPr>
      </w:pPr>
    </w:p>
    <w:p w:rsidR="006E74D8" w:rsidRDefault="006E74D8">
      <w:pPr>
        <w:pStyle w:val="Standard"/>
        <w:spacing w:line="288" w:lineRule="auto"/>
        <w:rPr>
          <w:rFonts w:ascii="Tahoma" w:hAnsi="Tahoma" w:cs="Tahoma"/>
          <w:b/>
          <w:sz w:val="26"/>
          <w:szCs w:val="26"/>
        </w:rPr>
      </w:pPr>
    </w:p>
    <w:p w:rsidR="006E74D8" w:rsidRDefault="00C31E9E">
      <w:pPr>
        <w:pStyle w:val="Standard"/>
        <w:spacing w:line="288" w:lineRule="auto"/>
      </w:pPr>
      <w:r>
        <w:rPr>
          <w:rFonts w:ascii="Tahoma" w:hAnsi="Tahoma" w:cs="Tahoma"/>
          <w:b/>
          <w:sz w:val="28"/>
          <w:szCs w:val="28"/>
        </w:rPr>
        <w:t>VIG d.o.o. u stečaju</w:t>
      </w:r>
    </w:p>
    <w:p w:rsidR="006E74D8" w:rsidRDefault="00C31E9E">
      <w:pPr>
        <w:pStyle w:val="Standard"/>
        <w:spacing w:line="288" w:lineRule="auto"/>
      </w:pPr>
      <w:r>
        <w:rPr>
          <w:rFonts w:ascii="Tahoma" w:hAnsi="Tahoma" w:cs="Tahoma"/>
          <w:b/>
          <w:sz w:val="28"/>
          <w:szCs w:val="28"/>
        </w:rPr>
        <w:t>Strahoninec, P. Miškina 72</w:t>
      </w:r>
    </w:p>
    <w:p w:rsidR="006E74D8" w:rsidRDefault="00C31E9E">
      <w:pPr>
        <w:pStyle w:val="Standard"/>
        <w:spacing w:line="288" w:lineRule="auto"/>
      </w:pPr>
      <w:r>
        <w:rPr>
          <w:rFonts w:ascii="Tahoma" w:hAnsi="Tahoma" w:cs="Tahoma"/>
          <w:b/>
          <w:sz w:val="28"/>
          <w:szCs w:val="28"/>
        </w:rPr>
        <w:t>Varaždin, 18.04.2019.</w:t>
      </w:r>
    </w:p>
    <w:p w:rsidR="006E74D8" w:rsidRDefault="006E74D8">
      <w:pPr>
        <w:pStyle w:val="Standard"/>
        <w:spacing w:line="288" w:lineRule="auto"/>
      </w:pPr>
    </w:p>
    <w:p w:rsidR="006E74D8" w:rsidRDefault="006E74D8">
      <w:pPr>
        <w:pStyle w:val="Standard"/>
        <w:spacing w:line="288" w:lineRule="auto"/>
      </w:pPr>
    </w:p>
    <w:p w:rsidR="006E74D8" w:rsidRDefault="00C31E9E">
      <w:pPr>
        <w:pStyle w:val="Standard"/>
        <w:spacing w:line="288" w:lineRule="auto"/>
      </w:pP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  <w:t xml:space="preserve">                 </w:t>
      </w:r>
      <w:r>
        <w:rPr>
          <w:rFonts w:ascii="Tahoma" w:hAnsi="Tahoma" w:cs="Tahoma"/>
          <w:b/>
        </w:rPr>
        <w:t xml:space="preserve">TRGOVAČKI SUD </w:t>
      </w:r>
      <w:r>
        <w:rPr>
          <w:rFonts w:ascii="Tahoma" w:hAnsi="Tahoma" w:cs="Tahoma"/>
          <w:b/>
        </w:rPr>
        <w:tab/>
        <w:t>VARAŽDIN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          St – 428/16</w:t>
      </w:r>
    </w:p>
    <w:p w:rsidR="006E74D8" w:rsidRDefault="00C31E9E">
      <w:pPr>
        <w:pStyle w:val="Standard"/>
        <w:spacing w:after="0"/>
        <w:ind w:hanging="42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               </w:t>
      </w:r>
      <w:r>
        <w:rPr>
          <w:rFonts w:ascii="Tahoma" w:hAnsi="Tahoma" w:cs="Tahoma"/>
          <w:b/>
        </w:rPr>
        <w:tab/>
      </w:r>
    </w:p>
    <w:p w:rsidR="006E74D8" w:rsidRDefault="00C31E9E">
      <w:pPr>
        <w:pStyle w:val="Standard"/>
        <w:spacing w:after="0"/>
        <w:ind w:hanging="426"/>
        <w:jc w:val="both"/>
      </w:pPr>
      <w:r>
        <w:rPr>
          <w:rFonts w:ascii="Tahoma" w:hAnsi="Tahoma" w:cs="Tahoma"/>
          <w:b/>
          <w:sz w:val="28"/>
          <w:szCs w:val="28"/>
        </w:rPr>
        <w:t xml:space="preserve">   </w:t>
      </w:r>
    </w:p>
    <w:p w:rsidR="006E74D8" w:rsidRDefault="00C31E9E">
      <w:pPr>
        <w:pStyle w:val="Standard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PREGLED FINANCIJSKOG PLANA ZA PERIOD</w:t>
      </w:r>
    </w:p>
    <w:p w:rsidR="006E74D8" w:rsidRDefault="00C31E9E">
      <w:pPr>
        <w:pStyle w:val="Standard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(01.04. do 30.06.2019)</w:t>
      </w:r>
    </w:p>
    <w:p w:rsidR="006E74D8" w:rsidRDefault="006E74D8">
      <w:pPr>
        <w:pStyle w:val="Standard"/>
        <w:jc w:val="center"/>
        <w:rPr>
          <w:rFonts w:ascii="Tahoma" w:hAnsi="Tahoma" w:cs="Tahoma"/>
          <w:b/>
          <w:bCs/>
          <w:sz w:val="28"/>
          <w:szCs w:val="28"/>
        </w:rPr>
      </w:pPr>
    </w:p>
    <w:tbl>
      <w:tblPr>
        <w:tblW w:w="1019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70"/>
        <w:gridCol w:w="2024"/>
        <w:gridCol w:w="2202"/>
      </w:tblGrid>
      <w:tr w:rsidR="006E74D8">
        <w:tblPrEx>
          <w:tblCellMar>
            <w:top w:w="0" w:type="dxa"/>
            <w:bottom w:w="0" w:type="dxa"/>
          </w:tblCellMar>
        </w:tblPrEx>
        <w:trPr>
          <w:trHeight w:val="1091"/>
          <w:jc w:val="center"/>
        </w:trPr>
        <w:tc>
          <w:tcPr>
            <w:tcW w:w="5970" w:type="dxa"/>
            <w:tcBorders>
              <w:top w:val="doub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C31E9E">
            <w:pPr>
              <w:pStyle w:val="Standard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Planirani troškovi</w:t>
            </w:r>
          </w:p>
        </w:tc>
        <w:tc>
          <w:tcPr>
            <w:tcW w:w="2024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C31E9E">
            <w:pPr>
              <w:pStyle w:val="Standard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Mjesečni </w:t>
            </w:r>
            <w:r>
              <w:rPr>
                <w:rFonts w:ascii="Tahoma" w:hAnsi="Tahoma" w:cs="Tahoma"/>
                <w:b/>
                <w:bCs/>
              </w:rPr>
              <w:t xml:space="preserve">              trošak</w:t>
            </w:r>
          </w:p>
        </w:tc>
        <w:tc>
          <w:tcPr>
            <w:tcW w:w="2202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C31E9E">
            <w:pPr>
              <w:pStyle w:val="Standard"/>
              <w:jc w:val="center"/>
            </w:pPr>
            <w:r>
              <w:rPr>
                <w:rFonts w:ascii="Tahoma" w:hAnsi="Tahoma" w:cs="Tahoma"/>
                <w:b/>
                <w:bCs/>
              </w:rPr>
              <w:t>Razdoblje</w:t>
            </w:r>
            <w:r>
              <w:rPr>
                <w:rFonts w:ascii="Tahoma" w:hAnsi="Tahoma" w:cs="Tahoma"/>
                <w:b/>
                <w:bCs/>
                <w:caps/>
              </w:rPr>
              <w:t xml:space="preserve"> 2. kvartal</w:t>
            </w:r>
          </w:p>
        </w:tc>
      </w:tr>
      <w:tr w:rsidR="006E74D8">
        <w:tblPrEx>
          <w:tblCellMar>
            <w:top w:w="0" w:type="dxa"/>
            <w:bottom w:w="0" w:type="dxa"/>
          </w:tblCellMar>
        </w:tblPrEx>
        <w:trPr>
          <w:trHeight w:val="84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C31E9E">
            <w:pPr>
              <w:pStyle w:val="Standard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Putni i materijalni troškovi (poštarina, telefon, uredski materijal)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C31E9E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500,00</w:t>
            </w:r>
          </w:p>
          <w:p w:rsidR="006E74D8" w:rsidRDefault="006E74D8">
            <w:pPr>
              <w:pStyle w:val="Standard"/>
              <w:jc w:val="right"/>
              <w:rPr>
                <w:rFonts w:ascii="Tahoma" w:hAnsi="Tahoma" w:cs="Tahoma"/>
              </w:rPr>
            </w:pP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C31E9E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1500,00</w:t>
            </w:r>
          </w:p>
        </w:tc>
      </w:tr>
      <w:tr w:rsidR="006E74D8">
        <w:tblPrEx>
          <w:tblCellMar>
            <w:top w:w="0" w:type="dxa"/>
            <w:bottom w:w="0" w:type="dxa"/>
          </w:tblCellMar>
        </w:tblPrEx>
        <w:trPr>
          <w:trHeight w:val="694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6E74D8">
            <w:pPr>
              <w:pStyle w:val="Standard"/>
              <w:spacing w:line="288" w:lineRule="auto"/>
              <w:jc w:val="both"/>
              <w:rPr>
                <w:rFonts w:ascii="Tahoma" w:hAnsi="Tahoma" w:cs="Tahoma"/>
              </w:rPr>
            </w:pP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6E74D8">
            <w:pPr>
              <w:pStyle w:val="Standard"/>
              <w:jc w:val="right"/>
              <w:rPr>
                <w:rFonts w:ascii="Tahoma" w:hAnsi="Tahoma" w:cs="Tahoma"/>
              </w:rPr>
            </w:pP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6E74D8">
            <w:pPr>
              <w:pStyle w:val="Standard"/>
              <w:jc w:val="right"/>
              <w:rPr>
                <w:rFonts w:ascii="Tahoma" w:hAnsi="Tahoma" w:cs="Tahoma"/>
              </w:rPr>
            </w:pPr>
          </w:p>
        </w:tc>
      </w:tr>
      <w:tr w:rsidR="006E74D8">
        <w:tblPrEx>
          <w:tblCellMar>
            <w:top w:w="0" w:type="dxa"/>
            <w:bottom w:w="0" w:type="dxa"/>
          </w:tblCellMar>
        </w:tblPrEx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C31E9E">
            <w:pPr>
              <w:pStyle w:val="Standard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Knjigovodstvene usluge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C31E9E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1.500,00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C31E9E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4.500,00</w:t>
            </w:r>
          </w:p>
        </w:tc>
      </w:tr>
      <w:tr w:rsidR="006E74D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double" w:sz="6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C31E9E">
            <w:pPr>
              <w:pStyle w:val="Standard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UKUPNO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double" w:sz="6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C31E9E">
            <w:pPr>
              <w:pStyle w:val="Standard"/>
              <w:jc w:val="right"/>
            </w:pPr>
            <w:r>
              <w:rPr>
                <w:rFonts w:ascii="Tahoma" w:hAnsi="Tahoma" w:cs="Tahoma"/>
                <w:b/>
              </w:rPr>
              <w:t>2000,00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double" w:sz="6" w:space="0" w:color="000001"/>
              <w:right w:val="double" w:sz="6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74D8" w:rsidRDefault="00C31E9E">
            <w:pPr>
              <w:pStyle w:val="Standard"/>
              <w:jc w:val="right"/>
            </w:pPr>
            <w:r>
              <w:rPr>
                <w:rFonts w:ascii="Tahoma" w:hAnsi="Tahoma" w:cs="Tahoma"/>
                <w:b/>
              </w:rPr>
              <w:t>6.000,00</w:t>
            </w:r>
          </w:p>
        </w:tc>
      </w:tr>
    </w:tbl>
    <w:p w:rsidR="006E74D8" w:rsidRDefault="006E74D8">
      <w:pPr>
        <w:pStyle w:val="Standard"/>
        <w:spacing w:line="288" w:lineRule="auto"/>
        <w:rPr>
          <w:rFonts w:ascii="Century Gothic" w:hAnsi="Century Gothic" w:cs="Century Gothic"/>
          <w:b/>
          <w:i/>
        </w:rPr>
      </w:pPr>
    </w:p>
    <w:p w:rsidR="006E74D8" w:rsidRDefault="00C31E9E">
      <w:pPr>
        <w:pStyle w:val="Standard"/>
        <w:spacing w:line="288" w:lineRule="auto"/>
        <w:ind w:left="142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 xml:space="preserve">*Planirani troškovi  iskazani su bez PDV-a, a trošak </w:t>
      </w:r>
      <w:r>
        <w:rPr>
          <w:rFonts w:ascii="Tahoma" w:hAnsi="Tahoma" w:cs="Tahoma"/>
          <w:i/>
        </w:rPr>
        <w:t>procjena.</w:t>
      </w:r>
    </w:p>
    <w:p w:rsidR="006E74D8" w:rsidRDefault="006E74D8">
      <w:pPr>
        <w:pStyle w:val="Standard"/>
        <w:spacing w:line="288" w:lineRule="auto"/>
        <w:ind w:left="142"/>
        <w:rPr>
          <w:rFonts w:ascii="Tahoma" w:hAnsi="Tahoma" w:cs="Tahoma"/>
          <w:i/>
        </w:rPr>
      </w:pPr>
    </w:p>
    <w:p w:rsidR="006E74D8" w:rsidRDefault="00C31E9E">
      <w:pPr>
        <w:pStyle w:val="Standard"/>
        <w:spacing w:line="288" w:lineRule="auto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</w:p>
    <w:p w:rsidR="006E74D8" w:rsidRDefault="00C31E9E">
      <w:pPr>
        <w:pStyle w:val="Standard"/>
        <w:spacing w:line="288" w:lineRule="auto"/>
        <w:ind w:left="142"/>
      </w:pPr>
      <w:r>
        <w:rPr>
          <w:rFonts w:ascii="Tahoma" w:hAnsi="Tahoma" w:cs="Tahoma"/>
          <w:i/>
        </w:rPr>
        <w:t xml:space="preserve">Varaždin, 18.04.2019. </w:t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  <w:t>Stečajni upravitelj Zvonko Hrain</w:t>
      </w:r>
    </w:p>
    <w:p w:rsidR="006E74D8" w:rsidRDefault="006E74D8">
      <w:pPr>
        <w:pStyle w:val="Standard"/>
        <w:spacing w:after="0" w:line="264" w:lineRule="auto"/>
        <w:jc w:val="both"/>
        <w:rPr>
          <w:rFonts w:ascii="Tahoma" w:hAnsi="Tahoma" w:cs="Tahoma"/>
          <w:b/>
          <w:lang w:val="pl-PL"/>
        </w:rPr>
      </w:pP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6E74D8" w:rsidRDefault="006E74D8">
      <w:pPr>
        <w:pStyle w:val="Standard"/>
      </w:pPr>
    </w:p>
    <w:sectPr w:rsidR="006E74D8">
      <w:headerReference w:type="default" r:id="rId8"/>
      <w:pgSz w:w="11906" w:h="16838"/>
      <w:pgMar w:top="1134" w:right="1134" w:bottom="72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31E9E">
      <w:pPr>
        <w:spacing w:after="0" w:line="240" w:lineRule="auto"/>
      </w:pPr>
      <w:r>
        <w:separator/>
      </w:r>
    </w:p>
  </w:endnote>
  <w:endnote w:type="continuationSeparator" w:id="0">
    <w:p w:rsidR="00000000" w:rsidRDefault="00C31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31E9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C31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CFE" w:rsidRDefault="00C31E9E">
    <w:pPr>
      <w:widowControl/>
      <w:suppressAutoHyphens w:val="0"/>
      <w:spacing w:after="0" w:line="240" w:lineRule="auto"/>
      <w:jc w:val="center"/>
      <w:textAlignment w:val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9CA"/>
    <w:multiLevelType w:val="multilevel"/>
    <w:tmpl w:val="C7EC203A"/>
    <w:styleLink w:val="WWNum13"/>
    <w:lvl w:ilvl="0">
      <w:numFmt w:val="bullet"/>
      <w:lvlText w:val="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D984261"/>
    <w:multiLevelType w:val="multilevel"/>
    <w:tmpl w:val="7180C874"/>
    <w:styleLink w:val="WWNum2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0EB90DFE"/>
    <w:multiLevelType w:val="multilevel"/>
    <w:tmpl w:val="0E6A3938"/>
    <w:styleLink w:val="WWNum10"/>
    <w:lvl w:ilvl="0">
      <w:start w:val="1"/>
      <w:numFmt w:val="decimal"/>
      <w:lvlText w:val="%1."/>
      <w:lvlJc w:val="left"/>
      <w:rPr>
        <w:b w:val="0"/>
      </w:rPr>
    </w:lvl>
    <w:lvl w:ilvl="1">
      <w:start w:val="553"/>
      <w:numFmt w:val="decimal"/>
      <w:lvlText w:val="%1.%2"/>
      <w:lvlJc w:val="left"/>
    </w:lvl>
    <w:lvl w:ilvl="2">
      <w:start w:val="820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">
    <w:nsid w:val="0EEE0165"/>
    <w:multiLevelType w:val="multilevel"/>
    <w:tmpl w:val="36FE313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593610C"/>
    <w:multiLevelType w:val="multilevel"/>
    <w:tmpl w:val="9A1EEB8A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6416F65"/>
    <w:multiLevelType w:val="multilevel"/>
    <w:tmpl w:val="AA6A3AFA"/>
    <w:styleLink w:val="WWNum7"/>
    <w:lvl w:ilvl="0">
      <w:start w:val="1"/>
      <w:numFmt w:val="upp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EBB2395"/>
    <w:multiLevelType w:val="multilevel"/>
    <w:tmpl w:val="7ED8C166"/>
    <w:styleLink w:val="WWNum2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20022E83"/>
    <w:multiLevelType w:val="multilevel"/>
    <w:tmpl w:val="05A25110"/>
    <w:styleLink w:val="WW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34294F44"/>
    <w:multiLevelType w:val="multilevel"/>
    <w:tmpl w:val="3AD44276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343F1372"/>
    <w:multiLevelType w:val="multilevel"/>
    <w:tmpl w:val="3FB0B770"/>
    <w:styleLink w:val="WWNum17"/>
    <w:lvl w:ilvl="0">
      <w:numFmt w:val="bullet"/>
      <w:lvlText w:val="-"/>
      <w:lvlJc w:val="left"/>
      <w:rPr>
        <w:rFonts w:ascii="Tahoma" w:hAnsi="Tahoma"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35914A0F"/>
    <w:multiLevelType w:val="multilevel"/>
    <w:tmpl w:val="D8F6E3A8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414F2D11"/>
    <w:multiLevelType w:val="multilevel"/>
    <w:tmpl w:val="4A6A55A6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44AF35DC"/>
    <w:multiLevelType w:val="multilevel"/>
    <w:tmpl w:val="0C4CFBD0"/>
    <w:styleLink w:val="WWNum15"/>
    <w:lvl w:ilvl="0">
      <w:start w:val="1"/>
      <w:numFmt w:val="decimal"/>
      <w:lvlText w:val="%1."/>
      <w:lvlJc w:val="left"/>
      <w:rPr>
        <w:i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50B60A8D"/>
    <w:multiLevelType w:val="multilevel"/>
    <w:tmpl w:val="0E423A36"/>
    <w:styleLink w:val="WWNum2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51212C9B"/>
    <w:multiLevelType w:val="multilevel"/>
    <w:tmpl w:val="D710FDF0"/>
    <w:styleLink w:val="WWNum3"/>
    <w:lvl w:ilvl="0">
      <w:numFmt w:val="bullet"/>
      <w:lvlText w:val="•"/>
      <w:lvlJc w:val="left"/>
      <w:rPr>
        <w:rFonts w:ascii="Tahoma" w:eastAsia="Calibri" w:hAnsi="Tahoma" w:cs="Tahom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533F71D8"/>
    <w:multiLevelType w:val="multilevel"/>
    <w:tmpl w:val="77DA6B6C"/>
    <w:styleLink w:val="WWNum14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56C34908"/>
    <w:multiLevelType w:val="multilevel"/>
    <w:tmpl w:val="F79A94E8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586D2135"/>
    <w:multiLevelType w:val="multilevel"/>
    <w:tmpl w:val="4BECF08C"/>
    <w:styleLink w:val="WWNum20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start w:val="1"/>
      <w:numFmt w:val="decimal"/>
      <w:lvlText w:val="%4."/>
      <w:lvlJc w:val="left"/>
      <w:rPr>
        <w:b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59FA0A59"/>
    <w:multiLevelType w:val="multilevel"/>
    <w:tmpl w:val="46A80374"/>
    <w:styleLink w:val="WWNum2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5DE1574C"/>
    <w:multiLevelType w:val="multilevel"/>
    <w:tmpl w:val="6BAE6DEA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614D0B45"/>
    <w:multiLevelType w:val="multilevel"/>
    <w:tmpl w:val="F3EEB20A"/>
    <w:styleLink w:val="WWNum18"/>
    <w:lvl w:ilvl="0">
      <w:numFmt w:val="bullet"/>
      <w:lvlText w:val="-"/>
      <w:lvlJc w:val="left"/>
      <w:rPr>
        <w:rFonts w:ascii="Tahoma" w:hAnsi="Tahoma" w:cs="Calibri"/>
        <w:i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>
    <w:nsid w:val="64543440"/>
    <w:multiLevelType w:val="multilevel"/>
    <w:tmpl w:val="817AC1B6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>
    <w:nsid w:val="66DC6269"/>
    <w:multiLevelType w:val="multilevel"/>
    <w:tmpl w:val="3F7CDFA2"/>
    <w:styleLink w:val="WWNum21"/>
    <w:lvl w:ilvl="0">
      <w:start w:val="4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>
    <w:nsid w:val="6CA40D1D"/>
    <w:multiLevelType w:val="multilevel"/>
    <w:tmpl w:val="784EE42A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>
    <w:nsid w:val="6DF06BA1"/>
    <w:multiLevelType w:val="multilevel"/>
    <w:tmpl w:val="B3AC56BA"/>
    <w:styleLink w:val="WWNum19"/>
    <w:lvl w:ilvl="0">
      <w:numFmt w:val="bullet"/>
      <w:lvlText w:val="-"/>
      <w:lvlJc w:val="left"/>
      <w:rPr>
        <w:rFonts w:ascii="Tahoma" w:hAnsi="Tahoma"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714942E5"/>
    <w:multiLevelType w:val="multilevel"/>
    <w:tmpl w:val="1E0401D8"/>
    <w:styleLink w:val="WWNum2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6">
    <w:nsid w:val="749539EF"/>
    <w:multiLevelType w:val="multilevel"/>
    <w:tmpl w:val="6AFCE222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>
    <w:nsid w:val="77F40DE8"/>
    <w:multiLevelType w:val="multilevel"/>
    <w:tmpl w:val="5024CFD0"/>
    <w:styleLink w:val="WWNum2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>
    <w:nsid w:val="7F971D36"/>
    <w:multiLevelType w:val="multilevel"/>
    <w:tmpl w:val="C478C5CA"/>
    <w:styleLink w:val="WWNum16"/>
    <w:lvl w:ilvl="0">
      <w:numFmt w:val="bullet"/>
      <w:lvlText w:val="-"/>
      <w:lvlJc w:val="left"/>
      <w:rPr>
        <w:rFonts w:ascii="Tahoma" w:hAnsi="Tahoma" w:cs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16"/>
  </w:num>
  <w:num w:numId="5">
    <w:abstractNumId w:val="3"/>
  </w:num>
  <w:num w:numId="6">
    <w:abstractNumId w:val="11"/>
  </w:num>
  <w:num w:numId="7">
    <w:abstractNumId w:val="5"/>
  </w:num>
  <w:num w:numId="8">
    <w:abstractNumId w:val="26"/>
  </w:num>
  <w:num w:numId="9">
    <w:abstractNumId w:val="21"/>
  </w:num>
  <w:num w:numId="10">
    <w:abstractNumId w:val="2"/>
  </w:num>
  <w:num w:numId="11">
    <w:abstractNumId w:val="10"/>
  </w:num>
  <w:num w:numId="12">
    <w:abstractNumId w:val="8"/>
  </w:num>
  <w:num w:numId="13">
    <w:abstractNumId w:val="0"/>
  </w:num>
  <w:num w:numId="14">
    <w:abstractNumId w:val="15"/>
  </w:num>
  <w:num w:numId="15">
    <w:abstractNumId w:val="12"/>
  </w:num>
  <w:num w:numId="16">
    <w:abstractNumId w:val="28"/>
  </w:num>
  <w:num w:numId="17">
    <w:abstractNumId w:val="9"/>
  </w:num>
  <w:num w:numId="18">
    <w:abstractNumId w:val="20"/>
  </w:num>
  <w:num w:numId="19">
    <w:abstractNumId w:val="24"/>
  </w:num>
  <w:num w:numId="20">
    <w:abstractNumId w:val="17"/>
  </w:num>
  <w:num w:numId="21">
    <w:abstractNumId w:val="22"/>
  </w:num>
  <w:num w:numId="22">
    <w:abstractNumId w:val="23"/>
  </w:num>
  <w:num w:numId="23">
    <w:abstractNumId w:val="18"/>
  </w:num>
  <w:num w:numId="24">
    <w:abstractNumId w:val="27"/>
  </w:num>
  <w:num w:numId="25">
    <w:abstractNumId w:val="1"/>
  </w:num>
  <w:num w:numId="26">
    <w:abstractNumId w:val="13"/>
  </w:num>
  <w:num w:numId="27">
    <w:abstractNumId w:val="19"/>
  </w:num>
  <w:num w:numId="28">
    <w:abstractNumId w:val="6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E74D8"/>
    <w:rsid w:val="006E74D8"/>
    <w:rsid w:val="00C3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uppressAutoHyphen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Tekstbaloni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  <w:suppressAutoHyphens/>
    </w:pPr>
  </w:style>
  <w:style w:type="paragraph" w:styleId="Odlomakpopisa">
    <w:name w:val="List Paragraph"/>
    <w:basedOn w:val="Standard"/>
    <w:pPr>
      <w:suppressAutoHyphens/>
      <w:ind w:left="720"/>
    </w:pPr>
  </w:style>
  <w:style w:type="paragraph" w:styleId="Podnoje">
    <w:name w:val="footer"/>
    <w:basedOn w:val="Standard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TekstbaloniaChar">
    <w:name w:val="Tekst balončića Char"/>
    <w:rPr>
      <w:rFonts w:ascii="Tahoma" w:hAnsi="Tahoma" w:cs="Tahoma"/>
      <w:sz w:val="16"/>
      <w:szCs w:val="16"/>
    </w:rPr>
  </w:style>
  <w:style w:type="character" w:styleId="Naglaeno">
    <w:name w:val="Strong"/>
    <w:basedOn w:val="Zadanifontodlomka"/>
    <w:rPr>
      <w:b/>
      <w:bCs/>
    </w:rPr>
  </w:style>
  <w:style w:type="character" w:customStyle="1" w:styleId="ZaglavljeChar">
    <w:name w:val="Zaglavlje Char"/>
    <w:basedOn w:val="Zadanifontodlomka"/>
  </w:style>
  <w:style w:type="character" w:customStyle="1" w:styleId="PodnojeChar">
    <w:name w:val="Podnožje Char"/>
    <w:basedOn w:val="Zadanifontodlomka"/>
  </w:style>
  <w:style w:type="character" w:customStyle="1" w:styleId="ListLabel1">
    <w:name w:val="ListLabel 1"/>
    <w:rPr>
      <w:rFonts w:eastAsia="Calibri" w:cs="Tahom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rFonts w:cs="Calibri"/>
    </w:rPr>
  </w:style>
  <w:style w:type="character" w:customStyle="1" w:styleId="ListLabel5">
    <w:name w:val="ListLabel 5"/>
    <w:rPr>
      <w:i w:val="0"/>
      <w:u w:val="none"/>
    </w:rPr>
  </w:style>
  <w:style w:type="character" w:customStyle="1" w:styleId="ListLabel6">
    <w:name w:val="ListLabel 6"/>
    <w:rPr>
      <w:rFonts w:cs="Calibri"/>
      <w:i w:val="0"/>
      <w:u w:val="none"/>
    </w:rPr>
  </w:style>
  <w:style w:type="character" w:customStyle="1" w:styleId="ListLabel7">
    <w:name w:val="ListLabel 7"/>
    <w:rPr>
      <w:b/>
    </w:rPr>
  </w:style>
  <w:style w:type="character" w:styleId="Istaknuto">
    <w:name w:val="Emphasis"/>
    <w:rPr>
      <w:i/>
      <w:iCs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8">
    <w:name w:val="WWNum8"/>
    <w:basedOn w:val="Bezpopisa"/>
    <w:pPr>
      <w:numPr>
        <w:numId w:val="8"/>
      </w:numPr>
    </w:pPr>
  </w:style>
  <w:style w:type="numbering" w:customStyle="1" w:styleId="WWNum9">
    <w:name w:val="WWNum9"/>
    <w:basedOn w:val="Bezpopisa"/>
    <w:pPr>
      <w:numPr>
        <w:numId w:val="9"/>
      </w:numPr>
    </w:pPr>
  </w:style>
  <w:style w:type="numbering" w:customStyle="1" w:styleId="WWNum10">
    <w:name w:val="WWNum10"/>
    <w:basedOn w:val="Bezpopisa"/>
    <w:pPr>
      <w:numPr>
        <w:numId w:val="10"/>
      </w:numPr>
    </w:pPr>
  </w:style>
  <w:style w:type="numbering" w:customStyle="1" w:styleId="WWNum11">
    <w:name w:val="WWNum11"/>
    <w:basedOn w:val="Bezpopisa"/>
    <w:pPr>
      <w:numPr>
        <w:numId w:val="11"/>
      </w:numPr>
    </w:pPr>
  </w:style>
  <w:style w:type="numbering" w:customStyle="1" w:styleId="WWNum12">
    <w:name w:val="WWNum12"/>
    <w:basedOn w:val="Bezpopisa"/>
    <w:pPr>
      <w:numPr>
        <w:numId w:val="12"/>
      </w:numPr>
    </w:pPr>
  </w:style>
  <w:style w:type="numbering" w:customStyle="1" w:styleId="WWNum13">
    <w:name w:val="WWNum13"/>
    <w:basedOn w:val="Bezpopisa"/>
    <w:pPr>
      <w:numPr>
        <w:numId w:val="13"/>
      </w:numPr>
    </w:pPr>
  </w:style>
  <w:style w:type="numbering" w:customStyle="1" w:styleId="WWNum14">
    <w:name w:val="WWNum14"/>
    <w:basedOn w:val="Bezpopisa"/>
    <w:pPr>
      <w:numPr>
        <w:numId w:val="14"/>
      </w:numPr>
    </w:pPr>
  </w:style>
  <w:style w:type="numbering" w:customStyle="1" w:styleId="WWNum15">
    <w:name w:val="WWNum15"/>
    <w:basedOn w:val="Bezpopisa"/>
    <w:pPr>
      <w:numPr>
        <w:numId w:val="15"/>
      </w:numPr>
    </w:pPr>
  </w:style>
  <w:style w:type="numbering" w:customStyle="1" w:styleId="WWNum16">
    <w:name w:val="WWNum16"/>
    <w:basedOn w:val="Bezpopisa"/>
    <w:pPr>
      <w:numPr>
        <w:numId w:val="16"/>
      </w:numPr>
    </w:pPr>
  </w:style>
  <w:style w:type="numbering" w:customStyle="1" w:styleId="WWNum17">
    <w:name w:val="WWNum17"/>
    <w:basedOn w:val="Bezpopisa"/>
    <w:pPr>
      <w:numPr>
        <w:numId w:val="17"/>
      </w:numPr>
    </w:pPr>
  </w:style>
  <w:style w:type="numbering" w:customStyle="1" w:styleId="WWNum18">
    <w:name w:val="WWNum18"/>
    <w:basedOn w:val="Bezpopisa"/>
    <w:pPr>
      <w:numPr>
        <w:numId w:val="18"/>
      </w:numPr>
    </w:pPr>
  </w:style>
  <w:style w:type="numbering" w:customStyle="1" w:styleId="WWNum19">
    <w:name w:val="WWNum19"/>
    <w:basedOn w:val="Bezpopisa"/>
    <w:pPr>
      <w:numPr>
        <w:numId w:val="19"/>
      </w:numPr>
    </w:pPr>
  </w:style>
  <w:style w:type="numbering" w:customStyle="1" w:styleId="WWNum20">
    <w:name w:val="WWNum20"/>
    <w:basedOn w:val="Bezpopisa"/>
    <w:pPr>
      <w:numPr>
        <w:numId w:val="20"/>
      </w:numPr>
    </w:pPr>
  </w:style>
  <w:style w:type="numbering" w:customStyle="1" w:styleId="WWNum21">
    <w:name w:val="WWNum21"/>
    <w:basedOn w:val="Bezpopisa"/>
    <w:pPr>
      <w:numPr>
        <w:numId w:val="21"/>
      </w:numPr>
    </w:pPr>
  </w:style>
  <w:style w:type="numbering" w:customStyle="1" w:styleId="WWNum22">
    <w:name w:val="WWNum22"/>
    <w:basedOn w:val="Bezpopisa"/>
    <w:pPr>
      <w:numPr>
        <w:numId w:val="22"/>
      </w:numPr>
    </w:pPr>
  </w:style>
  <w:style w:type="numbering" w:customStyle="1" w:styleId="WWNum23">
    <w:name w:val="WWNum23"/>
    <w:basedOn w:val="Bezpopisa"/>
    <w:pPr>
      <w:numPr>
        <w:numId w:val="23"/>
      </w:numPr>
    </w:pPr>
  </w:style>
  <w:style w:type="numbering" w:customStyle="1" w:styleId="WWNum24">
    <w:name w:val="WWNum24"/>
    <w:basedOn w:val="Bezpopisa"/>
    <w:pPr>
      <w:numPr>
        <w:numId w:val="24"/>
      </w:numPr>
    </w:pPr>
  </w:style>
  <w:style w:type="numbering" w:customStyle="1" w:styleId="WWNum25">
    <w:name w:val="WWNum25"/>
    <w:basedOn w:val="Bezpopisa"/>
    <w:pPr>
      <w:numPr>
        <w:numId w:val="25"/>
      </w:numPr>
    </w:pPr>
  </w:style>
  <w:style w:type="numbering" w:customStyle="1" w:styleId="WWNum26">
    <w:name w:val="WWNum26"/>
    <w:basedOn w:val="Bezpopisa"/>
    <w:pPr>
      <w:numPr>
        <w:numId w:val="26"/>
      </w:numPr>
    </w:pPr>
  </w:style>
  <w:style w:type="numbering" w:customStyle="1" w:styleId="WWNum27">
    <w:name w:val="WWNum27"/>
    <w:basedOn w:val="Bezpopisa"/>
    <w:pPr>
      <w:numPr>
        <w:numId w:val="27"/>
      </w:numPr>
    </w:pPr>
  </w:style>
  <w:style w:type="numbering" w:customStyle="1" w:styleId="WWNum28">
    <w:name w:val="WWNum28"/>
    <w:basedOn w:val="Bezpopisa"/>
    <w:pPr>
      <w:numPr>
        <w:numId w:val="28"/>
      </w:numPr>
    </w:pPr>
  </w:style>
  <w:style w:type="numbering" w:customStyle="1" w:styleId="WWNum29">
    <w:name w:val="WWNum29"/>
    <w:basedOn w:val="Bezpopisa"/>
    <w:pPr>
      <w:numPr>
        <w:numId w:val="2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uppressAutoHyphen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Tekstbaloni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  <w:suppressAutoHyphens/>
    </w:pPr>
  </w:style>
  <w:style w:type="paragraph" w:styleId="Odlomakpopisa">
    <w:name w:val="List Paragraph"/>
    <w:basedOn w:val="Standard"/>
    <w:pPr>
      <w:suppressAutoHyphens/>
      <w:ind w:left="720"/>
    </w:pPr>
  </w:style>
  <w:style w:type="paragraph" w:styleId="Podnoje">
    <w:name w:val="footer"/>
    <w:basedOn w:val="Standard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TekstbaloniaChar">
    <w:name w:val="Tekst balončića Char"/>
    <w:rPr>
      <w:rFonts w:ascii="Tahoma" w:hAnsi="Tahoma" w:cs="Tahoma"/>
      <w:sz w:val="16"/>
      <w:szCs w:val="16"/>
    </w:rPr>
  </w:style>
  <w:style w:type="character" w:styleId="Naglaeno">
    <w:name w:val="Strong"/>
    <w:basedOn w:val="Zadanifontodlomka"/>
    <w:rPr>
      <w:b/>
      <w:bCs/>
    </w:rPr>
  </w:style>
  <w:style w:type="character" w:customStyle="1" w:styleId="ZaglavljeChar">
    <w:name w:val="Zaglavlje Char"/>
    <w:basedOn w:val="Zadanifontodlomka"/>
  </w:style>
  <w:style w:type="character" w:customStyle="1" w:styleId="PodnojeChar">
    <w:name w:val="Podnožje Char"/>
    <w:basedOn w:val="Zadanifontodlomka"/>
  </w:style>
  <w:style w:type="character" w:customStyle="1" w:styleId="ListLabel1">
    <w:name w:val="ListLabel 1"/>
    <w:rPr>
      <w:rFonts w:eastAsia="Calibri" w:cs="Tahom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rFonts w:cs="Calibri"/>
    </w:rPr>
  </w:style>
  <w:style w:type="character" w:customStyle="1" w:styleId="ListLabel5">
    <w:name w:val="ListLabel 5"/>
    <w:rPr>
      <w:i w:val="0"/>
      <w:u w:val="none"/>
    </w:rPr>
  </w:style>
  <w:style w:type="character" w:customStyle="1" w:styleId="ListLabel6">
    <w:name w:val="ListLabel 6"/>
    <w:rPr>
      <w:rFonts w:cs="Calibri"/>
      <w:i w:val="0"/>
      <w:u w:val="none"/>
    </w:rPr>
  </w:style>
  <w:style w:type="character" w:customStyle="1" w:styleId="ListLabel7">
    <w:name w:val="ListLabel 7"/>
    <w:rPr>
      <w:b/>
    </w:rPr>
  </w:style>
  <w:style w:type="character" w:styleId="Istaknuto">
    <w:name w:val="Emphasis"/>
    <w:rPr>
      <w:i/>
      <w:iCs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8">
    <w:name w:val="WWNum8"/>
    <w:basedOn w:val="Bezpopisa"/>
    <w:pPr>
      <w:numPr>
        <w:numId w:val="8"/>
      </w:numPr>
    </w:pPr>
  </w:style>
  <w:style w:type="numbering" w:customStyle="1" w:styleId="WWNum9">
    <w:name w:val="WWNum9"/>
    <w:basedOn w:val="Bezpopisa"/>
    <w:pPr>
      <w:numPr>
        <w:numId w:val="9"/>
      </w:numPr>
    </w:pPr>
  </w:style>
  <w:style w:type="numbering" w:customStyle="1" w:styleId="WWNum10">
    <w:name w:val="WWNum10"/>
    <w:basedOn w:val="Bezpopisa"/>
    <w:pPr>
      <w:numPr>
        <w:numId w:val="10"/>
      </w:numPr>
    </w:pPr>
  </w:style>
  <w:style w:type="numbering" w:customStyle="1" w:styleId="WWNum11">
    <w:name w:val="WWNum11"/>
    <w:basedOn w:val="Bezpopisa"/>
    <w:pPr>
      <w:numPr>
        <w:numId w:val="11"/>
      </w:numPr>
    </w:pPr>
  </w:style>
  <w:style w:type="numbering" w:customStyle="1" w:styleId="WWNum12">
    <w:name w:val="WWNum12"/>
    <w:basedOn w:val="Bezpopisa"/>
    <w:pPr>
      <w:numPr>
        <w:numId w:val="12"/>
      </w:numPr>
    </w:pPr>
  </w:style>
  <w:style w:type="numbering" w:customStyle="1" w:styleId="WWNum13">
    <w:name w:val="WWNum13"/>
    <w:basedOn w:val="Bezpopisa"/>
    <w:pPr>
      <w:numPr>
        <w:numId w:val="13"/>
      </w:numPr>
    </w:pPr>
  </w:style>
  <w:style w:type="numbering" w:customStyle="1" w:styleId="WWNum14">
    <w:name w:val="WWNum14"/>
    <w:basedOn w:val="Bezpopisa"/>
    <w:pPr>
      <w:numPr>
        <w:numId w:val="14"/>
      </w:numPr>
    </w:pPr>
  </w:style>
  <w:style w:type="numbering" w:customStyle="1" w:styleId="WWNum15">
    <w:name w:val="WWNum15"/>
    <w:basedOn w:val="Bezpopisa"/>
    <w:pPr>
      <w:numPr>
        <w:numId w:val="15"/>
      </w:numPr>
    </w:pPr>
  </w:style>
  <w:style w:type="numbering" w:customStyle="1" w:styleId="WWNum16">
    <w:name w:val="WWNum16"/>
    <w:basedOn w:val="Bezpopisa"/>
    <w:pPr>
      <w:numPr>
        <w:numId w:val="16"/>
      </w:numPr>
    </w:pPr>
  </w:style>
  <w:style w:type="numbering" w:customStyle="1" w:styleId="WWNum17">
    <w:name w:val="WWNum17"/>
    <w:basedOn w:val="Bezpopisa"/>
    <w:pPr>
      <w:numPr>
        <w:numId w:val="17"/>
      </w:numPr>
    </w:pPr>
  </w:style>
  <w:style w:type="numbering" w:customStyle="1" w:styleId="WWNum18">
    <w:name w:val="WWNum18"/>
    <w:basedOn w:val="Bezpopisa"/>
    <w:pPr>
      <w:numPr>
        <w:numId w:val="18"/>
      </w:numPr>
    </w:pPr>
  </w:style>
  <w:style w:type="numbering" w:customStyle="1" w:styleId="WWNum19">
    <w:name w:val="WWNum19"/>
    <w:basedOn w:val="Bezpopisa"/>
    <w:pPr>
      <w:numPr>
        <w:numId w:val="19"/>
      </w:numPr>
    </w:pPr>
  </w:style>
  <w:style w:type="numbering" w:customStyle="1" w:styleId="WWNum20">
    <w:name w:val="WWNum20"/>
    <w:basedOn w:val="Bezpopisa"/>
    <w:pPr>
      <w:numPr>
        <w:numId w:val="20"/>
      </w:numPr>
    </w:pPr>
  </w:style>
  <w:style w:type="numbering" w:customStyle="1" w:styleId="WWNum21">
    <w:name w:val="WWNum21"/>
    <w:basedOn w:val="Bezpopisa"/>
    <w:pPr>
      <w:numPr>
        <w:numId w:val="21"/>
      </w:numPr>
    </w:pPr>
  </w:style>
  <w:style w:type="numbering" w:customStyle="1" w:styleId="WWNum22">
    <w:name w:val="WWNum22"/>
    <w:basedOn w:val="Bezpopisa"/>
    <w:pPr>
      <w:numPr>
        <w:numId w:val="22"/>
      </w:numPr>
    </w:pPr>
  </w:style>
  <w:style w:type="numbering" w:customStyle="1" w:styleId="WWNum23">
    <w:name w:val="WWNum23"/>
    <w:basedOn w:val="Bezpopisa"/>
    <w:pPr>
      <w:numPr>
        <w:numId w:val="23"/>
      </w:numPr>
    </w:pPr>
  </w:style>
  <w:style w:type="numbering" w:customStyle="1" w:styleId="WWNum24">
    <w:name w:val="WWNum24"/>
    <w:basedOn w:val="Bezpopisa"/>
    <w:pPr>
      <w:numPr>
        <w:numId w:val="24"/>
      </w:numPr>
    </w:pPr>
  </w:style>
  <w:style w:type="numbering" w:customStyle="1" w:styleId="WWNum25">
    <w:name w:val="WWNum25"/>
    <w:basedOn w:val="Bezpopisa"/>
    <w:pPr>
      <w:numPr>
        <w:numId w:val="25"/>
      </w:numPr>
    </w:pPr>
  </w:style>
  <w:style w:type="numbering" w:customStyle="1" w:styleId="WWNum26">
    <w:name w:val="WWNum26"/>
    <w:basedOn w:val="Bezpopisa"/>
    <w:pPr>
      <w:numPr>
        <w:numId w:val="26"/>
      </w:numPr>
    </w:pPr>
  </w:style>
  <w:style w:type="numbering" w:customStyle="1" w:styleId="WWNum27">
    <w:name w:val="WWNum27"/>
    <w:basedOn w:val="Bezpopisa"/>
    <w:pPr>
      <w:numPr>
        <w:numId w:val="27"/>
      </w:numPr>
    </w:pPr>
  </w:style>
  <w:style w:type="numbering" w:customStyle="1" w:styleId="WWNum28">
    <w:name w:val="WWNum28"/>
    <w:basedOn w:val="Bezpopisa"/>
    <w:pPr>
      <w:numPr>
        <w:numId w:val="28"/>
      </w:numPr>
    </w:pPr>
  </w:style>
  <w:style w:type="numbering" w:customStyle="1" w:styleId="WWNum29">
    <w:name w:val="WWNum29"/>
    <w:basedOn w:val="Bezpopisa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Šobak</dc:creator>
  <cp:lastModifiedBy>Nikolina Cvek</cp:lastModifiedBy>
  <cp:revision>1</cp:revision>
  <cp:lastPrinted>2019-04-19T11:26:00Z</cp:lastPrinted>
  <dcterms:created xsi:type="dcterms:W3CDTF">2009-04-16T11:32:00Z</dcterms:created>
  <dcterms:modified xsi:type="dcterms:W3CDTF">2019-04-24T06:12:00Z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